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36"/>
          <w:szCs w:val="36"/>
        </w:rPr>
      </w:pPr>
      <w:r>
        <w:rPr>
          <w:rFonts w:hint="eastAsia"/>
          <w:b/>
          <w:sz w:val="36"/>
          <w:szCs w:val="36"/>
        </w:rPr>
        <w:t>生物电子学国家重点实验室</w:t>
      </w:r>
    </w:p>
    <w:p>
      <w:pPr>
        <w:spacing w:line="400" w:lineRule="exact"/>
        <w:jc w:val="center"/>
        <w:rPr>
          <w:b/>
          <w:sz w:val="36"/>
          <w:szCs w:val="36"/>
        </w:rPr>
      </w:pPr>
      <w:r>
        <w:rPr>
          <w:rFonts w:hint="eastAsia"/>
          <w:b/>
          <w:sz w:val="36"/>
          <w:szCs w:val="36"/>
        </w:rPr>
        <w:t>开放课题申报指南</w:t>
      </w:r>
    </w:p>
    <w:p>
      <w:pPr>
        <w:spacing w:line="400" w:lineRule="exact"/>
        <w:jc w:val="center"/>
        <w:rPr>
          <w:rFonts w:ascii="黑体" w:hAnsi="黑体" w:eastAsia="黑体" w:cs="宋体"/>
          <w:sz w:val="32"/>
          <w:szCs w:val="32"/>
        </w:rPr>
      </w:pPr>
    </w:p>
    <w:p>
      <w:pPr>
        <w:autoSpaceDE w:val="0"/>
        <w:autoSpaceDN w:val="0"/>
        <w:adjustRightInd w:val="0"/>
        <w:rPr>
          <w:b/>
          <w:sz w:val="32"/>
          <w:szCs w:val="32"/>
        </w:rPr>
      </w:pPr>
      <w:r>
        <w:rPr>
          <w:rFonts w:hint="eastAsia"/>
          <w:b/>
          <w:sz w:val="32"/>
          <w:szCs w:val="32"/>
        </w:rPr>
        <w:t>一、申报要求</w:t>
      </w:r>
    </w:p>
    <w:p>
      <w:pPr>
        <w:numPr>
          <w:ilvl w:val="0"/>
          <w:numId w:val="1"/>
        </w:numPr>
        <w:autoSpaceDE w:val="0"/>
        <w:autoSpaceDN w:val="0"/>
        <w:adjustRightInd w:val="0"/>
        <w:snapToGrid w:val="0"/>
        <w:spacing w:line="340" w:lineRule="exact"/>
        <w:rPr>
          <w:rFonts w:ascii="宋体" w:cs="宋体"/>
          <w:sz w:val="24"/>
        </w:rPr>
      </w:pPr>
      <w:r>
        <w:rPr>
          <w:rFonts w:hint="eastAsia" w:ascii="宋体" w:cs="宋体"/>
          <w:sz w:val="24"/>
        </w:rPr>
        <w:t>凡科研机构、大专院校、产业部门中具有高级技术职称并从事生物电子学及相关领域的研究者均可申请开放研究基金。中级职称的青年科技工作者申请时，需要</w:t>
      </w:r>
      <w:r>
        <w:rPr>
          <w:rFonts w:hint="eastAsia" w:ascii="宋体" w:cs="宋体"/>
          <w:sz w:val="24"/>
          <w:lang w:val="en-US" w:eastAsia="zh-CN"/>
        </w:rPr>
        <w:t>一</w:t>
      </w:r>
      <w:r>
        <w:rPr>
          <w:rFonts w:hint="eastAsia" w:ascii="宋体" w:cs="宋体"/>
          <w:sz w:val="24"/>
        </w:rPr>
        <w:t>名具有高级技术职称的同行科技人员推荐；</w:t>
      </w:r>
    </w:p>
    <w:p>
      <w:pPr>
        <w:numPr>
          <w:ilvl w:val="0"/>
          <w:numId w:val="1"/>
        </w:numPr>
        <w:autoSpaceDE w:val="0"/>
        <w:autoSpaceDN w:val="0"/>
        <w:adjustRightInd w:val="0"/>
        <w:snapToGrid w:val="0"/>
        <w:spacing w:line="340" w:lineRule="exact"/>
        <w:rPr>
          <w:rFonts w:ascii="宋体" w:cs="宋体"/>
          <w:sz w:val="24"/>
        </w:rPr>
      </w:pPr>
      <w:r>
        <w:rPr>
          <w:rFonts w:hint="eastAsia" w:ascii="宋体" w:cs="宋体"/>
          <w:b/>
          <w:sz w:val="24"/>
        </w:rPr>
        <w:t>申请者的研究课题应符合本实验室项目指南，与实验室研究方向有较强的关联性，有明确的前沿性、开拓性及应用前景，有切实可行的技术路线和研究方法，</w:t>
      </w:r>
      <w:r>
        <w:rPr>
          <w:rFonts w:hint="eastAsia" w:ascii="宋体" w:cs="宋体"/>
          <w:b/>
          <w:bCs/>
          <w:sz w:val="24"/>
        </w:rPr>
        <w:t>考核目标明确。有可预期对实验室贡献的成果</w:t>
      </w:r>
      <w:r>
        <w:rPr>
          <w:rFonts w:hint="eastAsia" w:ascii="宋体" w:cs="宋体"/>
          <w:sz w:val="24"/>
        </w:rPr>
        <w:t>， 同时应有较好的前期工作研究基础；</w:t>
      </w:r>
    </w:p>
    <w:p>
      <w:pPr>
        <w:numPr>
          <w:ilvl w:val="0"/>
          <w:numId w:val="1"/>
        </w:numPr>
        <w:autoSpaceDE w:val="0"/>
        <w:autoSpaceDN w:val="0"/>
        <w:adjustRightInd w:val="0"/>
        <w:snapToGrid w:val="0"/>
        <w:spacing w:line="340" w:lineRule="exact"/>
        <w:rPr>
          <w:rFonts w:ascii="宋体" w:cs="宋体"/>
          <w:sz w:val="24"/>
        </w:rPr>
      </w:pPr>
      <w:r>
        <w:rPr>
          <w:rFonts w:hint="eastAsia" w:ascii="宋体" w:cs="宋体"/>
          <w:bCs/>
          <w:sz w:val="24"/>
        </w:rPr>
        <w:t>实验室每年计划支持10项左右，欢迎实验室老师推荐和联系国内外老师申请；</w:t>
      </w:r>
    </w:p>
    <w:p>
      <w:pPr>
        <w:numPr>
          <w:ilvl w:val="0"/>
          <w:numId w:val="1"/>
        </w:numPr>
        <w:autoSpaceDE w:val="0"/>
        <w:autoSpaceDN w:val="0"/>
        <w:adjustRightInd w:val="0"/>
        <w:snapToGrid w:val="0"/>
        <w:spacing w:line="340" w:lineRule="exact"/>
        <w:rPr>
          <w:rFonts w:ascii="宋体" w:cs="宋体"/>
          <w:sz w:val="24"/>
        </w:rPr>
      </w:pPr>
      <w:r>
        <w:rPr>
          <w:rFonts w:hint="eastAsia" w:ascii="宋体" w:cs="宋体"/>
          <w:sz w:val="24"/>
        </w:rPr>
        <w:t>申请者须与实验室在职科研人员联合申请。成果与合作者共享，所发表杂志和会议论文的作者至少有一位是本课题的负责人，且所发表的论文中，必须标注“东南大学生物电子学国家重点实验室开放研究基金资助课题”字样(英文为：Supported by the Open Research Fund of State Key Laboratory of Bioelectronics，Southeast University)。不满足上述条件的论文不可以作为本课题的结题成果；</w:t>
      </w:r>
    </w:p>
    <w:p>
      <w:pPr>
        <w:numPr>
          <w:ilvl w:val="0"/>
          <w:numId w:val="1"/>
        </w:numPr>
        <w:autoSpaceDE w:val="0"/>
        <w:autoSpaceDN w:val="0"/>
        <w:adjustRightInd w:val="0"/>
        <w:snapToGrid w:val="0"/>
        <w:spacing w:line="340" w:lineRule="exact"/>
        <w:rPr>
          <w:rFonts w:ascii="宋体" w:cs="宋体"/>
          <w:sz w:val="24"/>
        </w:rPr>
      </w:pPr>
      <w:r>
        <w:rPr>
          <w:rFonts w:hint="eastAsia" w:ascii="宋体" w:cs="宋体"/>
          <w:sz w:val="24"/>
        </w:rPr>
        <w:t>申请者在实验室网站下载《生物电子学国家重点实验室开放研究基金申请书》，并按要求填写，一式三份，经所在单位同意并签署意见盖章后于每年的下半年将纸质版和电子版提交生物电子学国家重点实验室；</w:t>
      </w:r>
    </w:p>
    <w:p>
      <w:pPr>
        <w:numPr>
          <w:ilvl w:val="0"/>
          <w:numId w:val="1"/>
        </w:numPr>
        <w:autoSpaceDE w:val="0"/>
        <w:autoSpaceDN w:val="0"/>
        <w:adjustRightInd w:val="0"/>
        <w:snapToGrid w:val="0"/>
        <w:spacing w:line="340" w:lineRule="exact"/>
        <w:rPr>
          <w:rFonts w:ascii="宋体" w:cs="宋体"/>
          <w:sz w:val="24"/>
        </w:rPr>
      </w:pPr>
      <w:r>
        <w:rPr>
          <w:rFonts w:hint="eastAsia" w:ascii="宋体" w:cs="宋体"/>
          <w:sz w:val="24"/>
        </w:rPr>
        <w:t>作为开放课题负责人承担本实验室开放课题而尚未结题者，不得在完成课题之前再次申请新的课题；</w:t>
      </w:r>
    </w:p>
    <w:p>
      <w:pPr>
        <w:numPr>
          <w:ilvl w:val="0"/>
          <w:numId w:val="1"/>
        </w:numPr>
        <w:autoSpaceDE w:val="0"/>
        <w:autoSpaceDN w:val="0"/>
        <w:adjustRightInd w:val="0"/>
        <w:snapToGrid w:val="0"/>
        <w:spacing w:line="340" w:lineRule="exact"/>
        <w:rPr>
          <w:rFonts w:ascii="宋体" w:cs="宋体"/>
          <w:sz w:val="24"/>
        </w:rPr>
      </w:pPr>
      <w:r>
        <w:rPr>
          <w:rFonts w:hint="eastAsia" w:ascii="宋体" w:cs="宋体"/>
          <w:sz w:val="24"/>
        </w:rPr>
        <w:t>前期曾申请过本实验室开放课题且已结题者，如需再次申请开放课题需写一个前期工作介绍和对实验室的成果贡献说明附在申请书后面。</w:t>
      </w:r>
    </w:p>
    <w:p>
      <w:pPr>
        <w:autoSpaceDE w:val="0"/>
        <w:autoSpaceDN w:val="0"/>
        <w:adjustRightInd w:val="0"/>
        <w:snapToGrid w:val="0"/>
        <w:spacing w:line="340" w:lineRule="exact"/>
        <w:rPr>
          <w:rFonts w:ascii="宋体" w:cs="宋体"/>
          <w:sz w:val="24"/>
        </w:rPr>
      </w:pPr>
    </w:p>
    <w:p>
      <w:pPr>
        <w:autoSpaceDE w:val="0"/>
        <w:autoSpaceDN w:val="0"/>
        <w:adjustRightInd w:val="0"/>
        <w:rPr>
          <w:b/>
          <w:sz w:val="32"/>
          <w:szCs w:val="32"/>
        </w:rPr>
      </w:pPr>
      <w:r>
        <w:rPr>
          <w:rFonts w:hint="eastAsia"/>
          <w:b/>
          <w:sz w:val="32"/>
          <w:szCs w:val="32"/>
        </w:rPr>
        <w:t>二、评审规则</w:t>
      </w:r>
    </w:p>
    <w:p>
      <w:pPr>
        <w:numPr>
          <w:ilvl w:val="0"/>
          <w:numId w:val="2"/>
        </w:numPr>
        <w:autoSpaceDE w:val="0"/>
        <w:autoSpaceDN w:val="0"/>
        <w:adjustRightInd w:val="0"/>
        <w:snapToGrid w:val="0"/>
        <w:spacing w:line="340" w:lineRule="exact"/>
        <w:rPr>
          <w:rFonts w:ascii="宋体" w:cs="宋体"/>
          <w:sz w:val="24"/>
        </w:rPr>
      </w:pPr>
      <w:r>
        <w:rPr>
          <w:rFonts w:hint="eastAsia" w:ascii="宋体" w:cs="宋体"/>
          <w:sz w:val="24"/>
        </w:rPr>
        <w:t>评审办法：</w:t>
      </w:r>
    </w:p>
    <w:p>
      <w:pPr>
        <w:pStyle w:val="6"/>
        <w:numPr>
          <w:ilvl w:val="0"/>
          <w:numId w:val="3"/>
        </w:numPr>
        <w:autoSpaceDE w:val="0"/>
        <w:autoSpaceDN w:val="0"/>
        <w:adjustRightInd w:val="0"/>
        <w:snapToGrid w:val="0"/>
        <w:spacing w:line="340" w:lineRule="exact"/>
        <w:ind w:firstLineChars="0"/>
        <w:rPr>
          <w:rFonts w:ascii="宋体" w:cs="宋体"/>
          <w:bCs/>
          <w:sz w:val="24"/>
        </w:rPr>
      </w:pPr>
      <w:r>
        <w:rPr>
          <w:rFonts w:hint="eastAsia" w:ascii="宋体" w:cs="宋体"/>
          <w:bCs/>
          <w:sz w:val="24"/>
        </w:rPr>
        <w:t>由实验室教授进行初评，主任办公室进行复评，最后由学术委员会进行审核批准。</w:t>
      </w:r>
    </w:p>
    <w:p>
      <w:pPr>
        <w:pStyle w:val="6"/>
        <w:numPr>
          <w:ilvl w:val="0"/>
          <w:numId w:val="3"/>
        </w:numPr>
        <w:autoSpaceDE w:val="0"/>
        <w:autoSpaceDN w:val="0"/>
        <w:adjustRightInd w:val="0"/>
        <w:snapToGrid w:val="0"/>
        <w:spacing w:line="340" w:lineRule="exact"/>
        <w:ind w:firstLineChars="0"/>
        <w:rPr>
          <w:rFonts w:ascii="宋体" w:cs="宋体"/>
          <w:sz w:val="24"/>
        </w:rPr>
      </w:pPr>
      <w:r>
        <w:rPr>
          <w:rFonts w:hint="eastAsia" w:ascii="宋体" w:cs="宋体"/>
          <w:bCs/>
          <w:sz w:val="24"/>
        </w:rPr>
        <w:t xml:space="preserve">实验室每年随机抽出5位教授作为评审专家，对开放课题进行评审。评审专家应该按照实验室评审规则，对开放课题进行公平、公正的评审，并对开放课题评审负有保密责任。 </w:t>
      </w:r>
    </w:p>
    <w:p>
      <w:pPr>
        <w:numPr>
          <w:ilvl w:val="0"/>
          <w:numId w:val="2"/>
        </w:numPr>
        <w:autoSpaceDE w:val="0"/>
        <w:autoSpaceDN w:val="0"/>
        <w:adjustRightInd w:val="0"/>
        <w:snapToGrid w:val="0"/>
        <w:spacing w:line="340" w:lineRule="exact"/>
        <w:rPr>
          <w:rFonts w:ascii="宋体" w:cs="宋体"/>
          <w:sz w:val="24"/>
        </w:rPr>
      </w:pPr>
      <w:r>
        <w:rPr>
          <w:rFonts w:hint="eastAsia" w:ascii="宋体" w:cs="宋体"/>
          <w:sz w:val="24"/>
        </w:rPr>
        <w:t>优先支持：</w:t>
      </w:r>
    </w:p>
    <w:p>
      <w:pPr>
        <w:pStyle w:val="6"/>
        <w:numPr>
          <w:ilvl w:val="0"/>
          <w:numId w:val="4"/>
        </w:numPr>
        <w:autoSpaceDE w:val="0"/>
        <w:autoSpaceDN w:val="0"/>
        <w:adjustRightInd w:val="0"/>
        <w:snapToGrid w:val="0"/>
        <w:spacing w:line="340" w:lineRule="exact"/>
        <w:ind w:firstLineChars="0"/>
        <w:rPr>
          <w:rFonts w:ascii="宋体" w:cs="宋体"/>
          <w:bCs/>
          <w:color w:val="auto"/>
          <w:sz w:val="24"/>
        </w:rPr>
      </w:pPr>
      <w:r>
        <w:rPr>
          <w:rFonts w:hint="eastAsia" w:ascii="宋体" w:cs="宋体"/>
          <w:bCs/>
          <w:color w:val="auto"/>
          <w:sz w:val="24"/>
        </w:rPr>
        <w:t>生物电子学研究内涵突出，体现生物电子学领域的重大科学问题和关键技术的研究项目，如：</w:t>
      </w:r>
    </w:p>
    <w:p>
      <w:pPr>
        <w:pStyle w:val="6"/>
        <w:numPr>
          <w:ilvl w:val="0"/>
          <w:numId w:val="5"/>
        </w:numPr>
        <w:autoSpaceDE w:val="0"/>
        <w:autoSpaceDN w:val="0"/>
        <w:adjustRightInd w:val="0"/>
        <w:snapToGrid w:val="0"/>
        <w:spacing w:line="340" w:lineRule="exact"/>
        <w:ind w:firstLineChars="0"/>
        <w:rPr>
          <w:rFonts w:ascii="宋体" w:cs="宋体"/>
          <w:bCs/>
          <w:color w:val="auto"/>
          <w:sz w:val="24"/>
        </w:rPr>
      </w:pPr>
      <w:r>
        <w:rPr>
          <w:rFonts w:hint="eastAsia" w:ascii="宋体" w:cs="宋体"/>
          <w:bCs/>
          <w:color w:val="auto"/>
          <w:sz w:val="24"/>
        </w:rPr>
        <w:t>场与生物相互作用及纳米介质增强效应</w:t>
      </w:r>
    </w:p>
    <w:p>
      <w:pPr>
        <w:pStyle w:val="6"/>
        <w:numPr>
          <w:ilvl w:val="0"/>
          <w:numId w:val="5"/>
        </w:numPr>
        <w:autoSpaceDE w:val="0"/>
        <w:autoSpaceDN w:val="0"/>
        <w:adjustRightInd w:val="0"/>
        <w:snapToGrid w:val="0"/>
        <w:spacing w:line="340" w:lineRule="exact"/>
        <w:ind w:firstLineChars="0"/>
        <w:rPr>
          <w:rFonts w:ascii="宋体" w:cs="宋体"/>
          <w:bCs/>
          <w:color w:val="auto"/>
          <w:sz w:val="24"/>
        </w:rPr>
      </w:pPr>
      <w:r>
        <w:rPr>
          <w:rFonts w:hint="eastAsia" w:ascii="宋体" w:cs="宋体"/>
          <w:bCs/>
          <w:color w:val="auto"/>
          <w:sz w:val="24"/>
        </w:rPr>
        <w:t>传感界面的分子电子过程及理化机理</w:t>
      </w:r>
    </w:p>
    <w:p>
      <w:pPr>
        <w:pStyle w:val="6"/>
        <w:numPr>
          <w:ilvl w:val="0"/>
          <w:numId w:val="5"/>
        </w:numPr>
        <w:autoSpaceDE w:val="0"/>
        <w:autoSpaceDN w:val="0"/>
        <w:adjustRightInd w:val="0"/>
        <w:snapToGrid w:val="0"/>
        <w:spacing w:line="340" w:lineRule="exact"/>
        <w:ind w:firstLineChars="0"/>
        <w:rPr>
          <w:rFonts w:ascii="宋体" w:cs="宋体"/>
          <w:bCs/>
          <w:color w:val="auto"/>
          <w:sz w:val="24"/>
        </w:rPr>
      </w:pPr>
      <w:r>
        <w:rPr>
          <w:rFonts w:hint="eastAsia" w:ascii="宋体" w:cs="宋体"/>
          <w:bCs/>
          <w:color w:val="auto"/>
          <w:sz w:val="24"/>
        </w:rPr>
        <w:t xml:space="preserve">生物系统建模及器官芯片关键技术 </w:t>
      </w:r>
      <w:r>
        <w:rPr>
          <w:rFonts w:ascii="宋体" w:cs="宋体"/>
          <w:bCs/>
          <w:color w:val="auto"/>
          <w:sz w:val="24"/>
        </w:rPr>
        <w:t xml:space="preserve">  </w:t>
      </w:r>
    </w:p>
    <w:p>
      <w:pPr>
        <w:pStyle w:val="6"/>
        <w:numPr>
          <w:ilvl w:val="0"/>
          <w:numId w:val="5"/>
        </w:numPr>
        <w:autoSpaceDE w:val="0"/>
        <w:autoSpaceDN w:val="0"/>
        <w:adjustRightInd w:val="0"/>
        <w:snapToGrid w:val="0"/>
        <w:spacing w:line="340" w:lineRule="exact"/>
        <w:ind w:firstLineChars="0"/>
        <w:rPr>
          <w:rFonts w:ascii="宋体" w:cs="宋体"/>
          <w:bCs/>
          <w:color w:val="auto"/>
          <w:sz w:val="24"/>
        </w:rPr>
      </w:pPr>
      <w:r>
        <w:rPr>
          <w:rFonts w:hint="eastAsia" w:ascii="宋体" w:cs="宋体"/>
          <w:bCs/>
          <w:color w:val="auto"/>
          <w:sz w:val="24"/>
        </w:rPr>
        <w:t>多组学信息融合及神经信息工程</w:t>
      </w:r>
    </w:p>
    <w:p>
      <w:pPr>
        <w:pStyle w:val="6"/>
        <w:numPr>
          <w:ilvl w:val="0"/>
          <w:numId w:val="4"/>
        </w:numPr>
        <w:autoSpaceDE w:val="0"/>
        <w:autoSpaceDN w:val="0"/>
        <w:adjustRightInd w:val="0"/>
        <w:snapToGrid w:val="0"/>
        <w:spacing w:line="340" w:lineRule="exact"/>
        <w:ind w:firstLineChars="0"/>
        <w:rPr>
          <w:rFonts w:ascii="宋体" w:cs="宋体"/>
          <w:bCs/>
          <w:color w:val="auto"/>
          <w:sz w:val="24"/>
        </w:rPr>
      </w:pPr>
      <w:r>
        <w:rPr>
          <w:rFonts w:hint="eastAsia" w:ascii="宋体" w:cs="宋体"/>
          <w:bCs/>
          <w:color w:val="auto"/>
          <w:sz w:val="24"/>
        </w:rPr>
        <w:t>与实验室研究方向紧密一致，并且与实验室教师有紧密合作的项目；</w:t>
      </w:r>
    </w:p>
    <w:p>
      <w:pPr>
        <w:pStyle w:val="6"/>
        <w:numPr>
          <w:ilvl w:val="0"/>
          <w:numId w:val="4"/>
        </w:numPr>
        <w:autoSpaceDE w:val="0"/>
        <w:autoSpaceDN w:val="0"/>
        <w:adjustRightInd w:val="0"/>
        <w:snapToGrid w:val="0"/>
        <w:spacing w:line="340" w:lineRule="exact"/>
        <w:ind w:firstLineChars="0"/>
        <w:rPr>
          <w:rFonts w:ascii="宋体" w:cs="宋体"/>
          <w:bCs/>
          <w:color w:val="auto"/>
          <w:sz w:val="24"/>
        </w:rPr>
      </w:pPr>
      <w:r>
        <w:rPr>
          <w:rFonts w:hint="eastAsia" w:ascii="宋体" w:cs="宋体"/>
          <w:bCs/>
          <w:color w:val="auto"/>
          <w:sz w:val="24"/>
        </w:rPr>
        <w:t>上年度项目完成情况较好的项目，可连续支持</w:t>
      </w:r>
      <w:r>
        <w:rPr>
          <w:rFonts w:hint="eastAsia" w:ascii="宋体" w:cs="宋体"/>
          <w:bCs/>
          <w:color w:val="auto"/>
          <w:sz w:val="24"/>
          <w:lang w:eastAsia="zh-CN"/>
        </w:rPr>
        <w:t>。</w:t>
      </w:r>
      <w:bookmarkStart w:id="0" w:name="_GoBack"/>
      <w:bookmarkEnd w:id="0"/>
    </w:p>
    <w:p>
      <w:pPr>
        <w:pStyle w:val="6"/>
        <w:autoSpaceDE w:val="0"/>
        <w:autoSpaceDN w:val="0"/>
        <w:adjustRightInd w:val="0"/>
        <w:snapToGrid w:val="0"/>
        <w:spacing w:line="340" w:lineRule="exact"/>
        <w:ind w:left="425" w:firstLine="0" w:firstLineChars="0"/>
        <w:rPr>
          <w:rFonts w:ascii="宋体" w:cs="宋体"/>
          <w:color w:val="auto"/>
          <w:sz w:val="24"/>
        </w:rPr>
      </w:pPr>
    </w:p>
    <w:p>
      <w:pPr>
        <w:numPr>
          <w:ilvl w:val="0"/>
          <w:numId w:val="6"/>
        </w:numPr>
        <w:autoSpaceDE w:val="0"/>
        <w:autoSpaceDN w:val="0"/>
        <w:adjustRightInd w:val="0"/>
        <w:snapToGrid w:val="0"/>
        <w:spacing w:line="340" w:lineRule="exact"/>
        <w:rPr>
          <w:rFonts w:ascii="黑体" w:hAnsi="黑体" w:eastAsia="黑体" w:cs="宋体"/>
          <w:sz w:val="32"/>
          <w:szCs w:val="32"/>
        </w:rPr>
      </w:pPr>
      <w:r>
        <w:rPr>
          <w:rFonts w:hint="eastAsia"/>
          <w:b/>
          <w:sz w:val="32"/>
          <w:szCs w:val="32"/>
        </w:rPr>
        <w:t>管理办法</w:t>
      </w:r>
      <w:r>
        <w:rPr>
          <w:rFonts w:hint="eastAsia" w:ascii="黑体" w:hAnsi="黑体" w:eastAsia="黑体" w:cs="宋体"/>
          <w:sz w:val="32"/>
          <w:szCs w:val="32"/>
        </w:rPr>
        <w:t xml:space="preserve"> </w:t>
      </w:r>
    </w:p>
    <w:p>
      <w:pPr>
        <w:pStyle w:val="6"/>
        <w:numPr>
          <w:ilvl w:val="0"/>
          <w:numId w:val="7"/>
        </w:numPr>
        <w:autoSpaceDE w:val="0"/>
        <w:autoSpaceDN w:val="0"/>
        <w:adjustRightInd w:val="0"/>
        <w:snapToGrid w:val="0"/>
        <w:spacing w:line="340" w:lineRule="exact"/>
        <w:ind w:firstLineChars="0"/>
        <w:rPr>
          <w:rFonts w:ascii="宋体" w:cs="宋体"/>
          <w:sz w:val="24"/>
        </w:rPr>
      </w:pPr>
      <w:r>
        <w:rPr>
          <w:rFonts w:hint="eastAsia" w:ascii="宋体" w:cs="宋体"/>
          <w:sz w:val="24"/>
        </w:rPr>
        <w:t>申请课题经学术委员会评审后，经由实验室主任办公会议批准方可纳入资助计划。每年进行一次研究基金的评审，评审时间一般安排在每年的</w:t>
      </w:r>
      <w:r>
        <w:rPr>
          <w:rFonts w:ascii="宋体" w:cs="宋体"/>
          <w:sz w:val="24"/>
        </w:rPr>
        <w:t>11-12</w:t>
      </w:r>
      <w:r>
        <w:rPr>
          <w:rFonts w:hint="eastAsia" w:ascii="宋体" w:cs="宋体"/>
          <w:sz w:val="24"/>
        </w:rPr>
        <w:t>月份。对批准资助课题，资助期限一般为两年，每项开放课题的资助经费一般为</w:t>
      </w:r>
      <w:r>
        <w:rPr>
          <w:rFonts w:ascii="宋体" w:cs="宋体"/>
          <w:sz w:val="24"/>
        </w:rPr>
        <w:t>5-10</w:t>
      </w:r>
      <w:r>
        <w:rPr>
          <w:rFonts w:hint="eastAsia" w:ascii="宋体" w:cs="宋体"/>
          <w:sz w:val="24"/>
        </w:rPr>
        <w:t>万元人民币。</w:t>
      </w:r>
    </w:p>
    <w:p>
      <w:pPr>
        <w:pStyle w:val="6"/>
        <w:numPr>
          <w:ilvl w:val="0"/>
          <w:numId w:val="7"/>
        </w:numPr>
        <w:autoSpaceDE w:val="0"/>
        <w:autoSpaceDN w:val="0"/>
        <w:adjustRightInd w:val="0"/>
        <w:snapToGrid w:val="0"/>
        <w:spacing w:line="340" w:lineRule="exact"/>
        <w:ind w:firstLineChars="0"/>
        <w:rPr>
          <w:rFonts w:ascii="宋体" w:cs="宋体"/>
          <w:sz w:val="24"/>
        </w:rPr>
      </w:pPr>
      <w:r>
        <w:rPr>
          <w:rFonts w:hint="eastAsia" w:ascii="宋体" w:cs="宋体"/>
          <w:sz w:val="24"/>
        </w:rPr>
        <w:t>实验室与申请者自开放课题合同签署后</w:t>
      </w:r>
      <w:r>
        <w:rPr>
          <w:rFonts w:ascii="宋体" w:cs="宋体"/>
          <w:sz w:val="24"/>
        </w:rPr>
        <w:t>1</w:t>
      </w:r>
      <w:r>
        <w:rPr>
          <w:rFonts w:hint="eastAsia" w:ascii="宋体" w:cs="宋体"/>
          <w:sz w:val="24"/>
        </w:rPr>
        <w:t>个月内，实验室将课题经费</w:t>
      </w:r>
      <w:r>
        <w:rPr>
          <w:rFonts w:ascii="宋体" w:cs="宋体"/>
          <w:sz w:val="24"/>
        </w:rPr>
        <w:t>70%</w:t>
      </w:r>
      <w:r>
        <w:rPr>
          <w:rFonts w:hint="eastAsia" w:ascii="宋体" w:cs="宋体"/>
          <w:sz w:val="24"/>
        </w:rPr>
        <w:t>按照申请者所提供的单位账户，汇给申请者所在单位，课题进行一年后，实验室根据申请者提交的课题进展报告决定是否给予后续</w:t>
      </w:r>
      <w:r>
        <w:rPr>
          <w:rFonts w:ascii="宋体" w:cs="宋体"/>
          <w:sz w:val="24"/>
        </w:rPr>
        <w:t>30%</w:t>
      </w:r>
      <w:r>
        <w:rPr>
          <w:rFonts w:hint="eastAsia" w:ascii="宋体" w:cs="宋体"/>
          <w:sz w:val="24"/>
        </w:rPr>
        <w:t>的资助；对于取得重要进展的课题，经实验室主任和学术委员会主任同意可以适当增加经费支持。经费按年度拨款，实行课题单独核算。</w:t>
      </w:r>
    </w:p>
    <w:p>
      <w:pPr>
        <w:pStyle w:val="6"/>
        <w:numPr>
          <w:ilvl w:val="0"/>
          <w:numId w:val="7"/>
        </w:numPr>
        <w:autoSpaceDE w:val="0"/>
        <w:autoSpaceDN w:val="0"/>
        <w:adjustRightInd w:val="0"/>
        <w:snapToGrid w:val="0"/>
        <w:spacing w:line="340" w:lineRule="exact"/>
        <w:ind w:firstLineChars="0"/>
        <w:rPr>
          <w:rFonts w:ascii="宋体" w:cs="宋体"/>
          <w:sz w:val="24"/>
        </w:rPr>
      </w:pPr>
      <w:r>
        <w:rPr>
          <w:rFonts w:hint="eastAsia" w:ascii="宋体" w:cs="宋体"/>
          <w:sz w:val="24"/>
        </w:rPr>
        <w:t>批准的开放研究基金只能用于课题研究费用，如仪器机时费，材料费、测试费、加工费、差旅费、会议费、出版</w:t>
      </w:r>
      <w:r>
        <w:rPr>
          <w:rFonts w:ascii="宋体" w:cs="宋体"/>
          <w:sz w:val="24"/>
        </w:rPr>
        <w:t>/</w:t>
      </w:r>
      <w:r>
        <w:rPr>
          <w:rFonts w:hint="eastAsia" w:ascii="宋体" w:cs="宋体"/>
          <w:sz w:val="24"/>
        </w:rPr>
        <w:t>文献</w:t>
      </w:r>
      <w:r>
        <w:rPr>
          <w:rFonts w:ascii="宋体" w:cs="宋体"/>
          <w:sz w:val="24"/>
        </w:rPr>
        <w:t>/</w:t>
      </w:r>
      <w:r>
        <w:rPr>
          <w:rFonts w:hint="eastAsia" w:ascii="宋体" w:cs="宋体"/>
          <w:sz w:val="24"/>
        </w:rPr>
        <w:t>信息</w:t>
      </w:r>
      <w:r>
        <w:rPr>
          <w:rFonts w:ascii="宋体" w:cs="宋体"/>
          <w:sz w:val="24"/>
        </w:rPr>
        <w:t>/</w:t>
      </w:r>
      <w:r>
        <w:rPr>
          <w:rFonts w:hint="eastAsia" w:ascii="宋体" w:cs="宋体"/>
          <w:sz w:val="24"/>
        </w:rPr>
        <w:t>知识产权。经费使用按生物电子学国家重点实验室专项经费的使用管理条例执行。</w:t>
      </w:r>
    </w:p>
    <w:p>
      <w:pPr>
        <w:pStyle w:val="6"/>
        <w:numPr>
          <w:ilvl w:val="0"/>
          <w:numId w:val="7"/>
        </w:numPr>
        <w:autoSpaceDE w:val="0"/>
        <w:autoSpaceDN w:val="0"/>
        <w:adjustRightInd w:val="0"/>
        <w:snapToGrid w:val="0"/>
        <w:spacing w:line="340" w:lineRule="exact"/>
        <w:ind w:firstLineChars="0"/>
        <w:rPr>
          <w:rFonts w:ascii="宋体" w:cs="宋体"/>
          <w:sz w:val="24"/>
        </w:rPr>
      </w:pPr>
      <w:r>
        <w:rPr>
          <w:rFonts w:hint="eastAsia" w:ascii="宋体" w:cs="宋体"/>
          <w:sz w:val="24"/>
        </w:rPr>
        <w:t>对国内外自带课题及经费来室合作的科学家给予支持，本实验室将提供各种优惠条件。开放课题研究成果必须在致谢中标注“东南大学生物电子学国家重点实验室开放课题基金资助”（</w:t>
      </w:r>
      <w:r>
        <w:rPr>
          <w:rFonts w:ascii="宋体" w:cs="宋体"/>
          <w:sz w:val="24"/>
        </w:rPr>
        <w:t>Supported by the Opening Project of State Key Laboratory of Bioelectronics</w:t>
      </w:r>
      <w:r>
        <w:rPr>
          <w:rFonts w:hint="eastAsia" w:ascii="宋体" w:cs="宋体"/>
          <w:sz w:val="24"/>
        </w:rPr>
        <w:t>）中英文字样和项目编号，</w:t>
      </w:r>
      <w:r>
        <w:rPr>
          <w:rFonts w:hint="eastAsia" w:ascii="宋体" w:cs="宋体"/>
          <w:sz w:val="24"/>
          <w:lang w:val="en-US" w:eastAsia="zh-CN"/>
        </w:rPr>
        <w:t>原则</w:t>
      </w:r>
      <w:r>
        <w:rPr>
          <w:rFonts w:hint="eastAsia" w:ascii="宋体" w:cs="宋体"/>
          <w:sz w:val="24"/>
        </w:rPr>
        <w:t>上有一项成果如发表论文、申请专利、鉴定成果、获奖成果须实验室及研究者所在单位共同署名，成果应在作者单位中标明东南大学生物电子学国家重点实验室（</w:t>
      </w:r>
      <w:r>
        <w:rPr>
          <w:rFonts w:ascii="宋体" w:cs="宋体"/>
          <w:sz w:val="24"/>
        </w:rPr>
        <w:t>State Key Laboratory of Bioelectronics, Southeast University, Nanjing 210096, China</w:t>
      </w:r>
      <w:r>
        <w:rPr>
          <w:rFonts w:hint="eastAsia" w:ascii="宋体" w:cs="宋体"/>
          <w:sz w:val="24"/>
        </w:rPr>
        <w:t>）、及其所在的单位。</w:t>
      </w:r>
    </w:p>
    <w:p>
      <w:pPr>
        <w:pStyle w:val="6"/>
        <w:numPr>
          <w:ilvl w:val="0"/>
          <w:numId w:val="7"/>
        </w:numPr>
        <w:autoSpaceDE w:val="0"/>
        <w:autoSpaceDN w:val="0"/>
        <w:adjustRightInd w:val="0"/>
        <w:snapToGrid w:val="0"/>
        <w:spacing w:line="340" w:lineRule="exact"/>
        <w:ind w:firstLineChars="0"/>
        <w:rPr>
          <w:rFonts w:ascii="宋体" w:cs="宋体"/>
          <w:sz w:val="24"/>
        </w:rPr>
      </w:pPr>
      <w:r>
        <w:rPr>
          <w:rFonts w:hint="eastAsia" w:ascii="宋体" w:cs="宋体"/>
          <w:sz w:val="24"/>
        </w:rPr>
        <w:t>开放课题结题后，需填写课题总结及财务决算报告并加盖单位公章与成果一起打包发给生物电子学国家重点实验室存档。</w:t>
      </w:r>
    </w:p>
    <w:p>
      <w:pPr>
        <w:pStyle w:val="6"/>
        <w:numPr>
          <w:ilvl w:val="0"/>
          <w:numId w:val="7"/>
        </w:numPr>
        <w:autoSpaceDE w:val="0"/>
        <w:autoSpaceDN w:val="0"/>
        <w:adjustRightInd w:val="0"/>
        <w:snapToGrid w:val="0"/>
        <w:spacing w:line="340" w:lineRule="exact"/>
        <w:ind w:firstLineChars="0"/>
        <w:rPr>
          <w:rFonts w:ascii="宋体" w:cs="宋体"/>
          <w:sz w:val="24"/>
        </w:rPr>
      </w:pPr>
      <w:r>
        <w:rPr>
          <w:rFonts w:hint="eastAsia" w:ascii="宋体" w:cs="宋体"/>
          <w:sz w:val="24"/>
        </w:rPr>
        <w:t>前期曾申请过本实验室开放课题且已结题，且申请者所在单位与本重点实验室共同拥有高水平研究成果的申请者，如需再次申请开放课题需写一个前期工作介绍，对实验室的成果贡献说明附在申请书后面。</w:t>
      </w:r>
    </w:p>
    <w:p>
      <w:pPr>
        <w:pStyle w:val="6"/>
        <w:numPr>
          <w:ilvl w:val="0"/>
          <w:numId w:val="7"/>
        </w:numPr>
        <w:snapToGrid w:val="0"/>
        <w:spacing w:line="340" w:lineRule="exact"/>
        <w:ind w:firstLineChars="0"/>
        <w:rPr>
          <w:rFonts w:ascii="宋体" w:cs="宋体"/>
          <w:bCs/>
          <w:sz w:val="24"/>
        </w:rPr>
      </w:pPr>
      <w:r>
        <w:rPr>
          <w:rFonts w:hint="eastAsia" w:ascii="宋体" w:cs="宋体"/>
          <w:bCs/>
          <w:sz w:val="24"/>
        </w:rPr>
        <w:t>要求开放课题完成期间应该有SCI论文发表，并在作者单位中有实验室名称；</w:t>
      </w:r>
    </w:p>
    <w:p>
      <w:pPr>
        <w:pStyle w:val="6"/>
        <w:numPr>
          <w:ilvl w:val="0"/>
          <w:numId w:val="7"/>
        </w:numPr>
        <w:snapToGrid w:val="0"/>
        <w:spacing w:line="340" w:lineRule="exact"/>
        <w:ind w:firstLineChars="0"/>
        <w:rPr>
          <w:rFonts w:ascii="宋体" w:cs="宋体"/>
          <w:bCs/>
          <w:sz w:val="24"/>
        </w:rPr>
      </w:pPr>
      <w:r>
        <w:rPr>
          <w:rFonts w:hint="eastAsia"/>
          <w:sz w:val="24"/>
        </w:rPr>
        <w:t>每年1</w:t>
      </w:r>
      <w:r>
        <w:rPr>
          <w:sz w:val="24"/>
        </w:rPr>
        <w:t>2</w:t>
      </w:r>
      <w:r>
        <w:rPr>
          <w:rFonts w:hint="eastAsia"/>
          <w:sz w:val="24"/>
        </w:rPr>
        <w:t>月份提交一份年度进展报告，最后一年1</w:t>
      </w:r>
      <w:r>
        <w:rPr>
          <w:sz w:val="24"/>
        </w:rPr>
        <w:t>2</w:t>
      </w:r>
      <w:r>
        <w:rPr>
          <w:rFonts w:hint="eastAsia"/>
          <w:sz w:val="24"/>
        </w:rPr>
        <w:t>月份提交结题报告。</w:t>
      </w:r>
    </w:p>
    <w:p>
      <w:pPr>
        <w:snapToGrid w:val="0"/>
        <w:spacing w:line="340" w:lineRule="exact"/>
        <w:rPr>
          <w:rFonts w:ascii="宋体" w:cs="宋体"/>
          <w:bCs/>
          <w:sz w:val="24"/>
        </w:rPr>
      </w:pPr>
    </w:p>
    <w:p>
      <w:pPr>
        <w:snapToGrid w:val="0"/>
        <w:spacing w:line="340" w:lineRule="exact"/>
        <w:jc w:val="right"/>
        <w:rPr>
          <w:rFonts w:ascii="宋体" w:cs="宋体"/>
          <w:bCs/>
          <w:sz w:val="24"/>
        </w:rPr>
      </w:pPr>
    </w:p>
    <w:p>
      <w:pPr>
        <w:snapToGrid w:val="0"/>
        <w:spacing w:line="340" w:lineRule="exact"/>
        <w:jc w:val="right"/>
        <w:rPr>
          <w:rFonts w:ascii="宋体" w:cs="宋体"/>
          <w:bCs/>
          <w:sz w:val="24"/>
        </w:rPr>
      </w:pPr>
      <w:r>
        <w:rPr>
          <w:rFonts w:hint="eastAsia" w:ascii="宋体" w:cs="宋体"/>
          <w:bCs/>
          <w:sz w:val="24"/>
        </w:rPr>
        <w:t>生物电子学国家重点实验室</w:t>
      </w:r>
    </w:p>
    <w:p>
      <w:pPr>
        <w:snapToGrid w:val="0"/>
        <w:spacing w:line="340" w:lineRule="exact"/>
        <w:jc w:val="right"/>
        <w:rPr>
          <w:rFonts w:ascii="宋体" w:cs="宋体"/>
          <w:bCs/>
          <w:sz w:val="24"/>
        </w:rPr>
      </w:pPr>
      <w:r>
        <w:rPr>
          <w:rFonts w:hint="eastAsia" w:ascii="宋体" w:cs="宋体"/>
          <w:bCs/>
          <w:sz w:val="24"/>
        </w:rPr>
        <w:t>2</w:t>
      </w:r>
      <w:r>
        <w:rPr>
          <w:rFonts w:ascii="宋体" w:cs="宋体"/>
          <w:bCs/>
          <w:sz w:val="24"/>
        </w:rPr>
        <w:t>018</w:t>
      </w:r>
      <w:r>
        <w:rPr>
          <w:rFonts w:hint="eastAsia" w:ascii="宋体" w:cs="宋体"/>
          <w:bCs/>
          <w:sz w:val="24"/>
        </w:rPr>
        <w:t>年1</w:t>
      </w:r>
      <w:r>
        <w:rPr>
          <w:rFonts w:ascii="宋体" w:cs="宋体"/>
          <w:bCs/>
          <w:sz w:val="24"/>
        </w:rPr>
        <w:t>2</w:t>
      </w:r>
      <w:r>
        <w:rPr>
          <w:rFonts w:hint="eastAsia" w:ascii="宋体" w:cs="宋体"/>
          <w:bCs/>
          <w:sz w:val="24"/>
        </w:rPr>
        <w:t>月2</w:t>
      </w:r>
      <w:r>
        <w:rPr>
          <w:rFonts w:ascii="宋体" w:cs="宋体"/>
          <w:bCs/>
          <w:sz w:val="24"/>
        </w:rPr>
        <w:t>0</w:t>
      </w:r>
      <w:r>
        <w:rPr>
          <w:rFonts w:hint="eastAsia" w:ascii="宋体" w:cs="宋体"/>
          <w:bCs/>
          <w:sz w:val="24"/>
        </w:rPr>
        <w:t>日</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C8"/>
    <w:multiLevelType w:val="multilevel"/>
    <w:tmpl w:val="081E12C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4B38D0"/>
    <w:multiLevelType w:val="multilevel"/>
    <w:tmpl w:val="474B38D0"/>
    <w:lvl w:ilvl="0" w:tentative="0">
      <w:start w:val="1"/>
      <w:numFmt w:val="bullet"/>
      <w:lvlText w:val=""/>
      <w:lvlJc w:val="left"/>
      <w:pPr>
        <w:ind w:left="1272" w:hanging="420"/>
      </w:pPr>
      <w:rPr>
        <w:rFonts w:hint="default" w:ascii="Wingdings" w:hAnsi="Wingdings"/>
      </w:rPr>
    </w:lvl>
    <w:lvl w:ilvl="1" w:tentative="0">
      <w:start w:val="1"/>
      <w:numFmt w:val="bullet"/>
      <w:lvlText w:val=""/>
      <w:lvlJc w:val="left"/>
      <w:pPr>
        <w:ind w:left="1692" w:hanging="420"/>
      </w:pPr>
      <w:rPr>
        <w:rFonts w:hint="default" w:ascii="Wingdings" w:hAnsi="Wingdings"/>
      </w:rPr>
    </w:lvl>
    <w:lvl w:ilvl="2" w:tentative="0">
      <w:start w:val="1"/>
      <w:numFmt w:val="bullet"/>
      <w:lvlText w:val=""/>
      <w:lvlJc w:val="left"/>
      <w:pPr>
        <w:ind w:left="2112" w:hanging="420"/>
      </w:pPr>
      <w:rPr>
        <w:rFonts w:hint="default" w:ascii="Wingdings" w:hAnsi="Wingdings"/>
      </w:rPr>
    </w:lvl>
    <w:lvl w:ilvl="3" w:tentative="0">
      <w:start w:val="1"/>
      <w:numFmt w:val="bullet"/>
      <w:lvlText w:val=""/>
      <w:lvlJc w:val="left"/>
      <w:pPr>
        <w:ind w:left="2532" w:hanging="420"/>
      </w:pPr>
      <w:rPr>
        <w:rFonts w:hint="default" w:ascii="Wingdings" w:hAnsi="Wingdings"/>
      </w:rPr>
    </w:lvl>
    <w:lvl w:ilvl="4" w:tentative="0">
      <w:start w:val="1"/>
      <w:numFmt w:val="bullet"/>
      <w:lvlText w:val=""/>
      <w:lvlJc w:val="left"/>
      <w:pPr>
        <w:ind w:left="2952" w:hanging="420"/>
      </w:pPr>
      <w:rPr>
        <w:rFonts w:hint="default" w:ascii="Wingdings" w:hAnsi="Wingdings"/>
      </w:rPr>
    </w:lvl>
    <w:lvl w:ilvl="5" w:tentative="0">
      <w:start w:val="1"/>
      <w:numFmt w:val="bullet"/>
      <w:lvlText w:val=""/>
      <w:lvlJc w:val="left"/>
      <w:pPr>
        <w:ind w:left="3372" w:hanging="420"/>
      </w:pPr>
      <w:rPr>
        <w:rFonts w:hint="default" w:ascii="Wingdings" w:hAnsi="Wingdings"/>
      </w:rPr>
    </w:lvl>
    <w:lvl w:ilvl="6" w:tentative="0">
      <w:start w:val="1"/>
      <w:numFmt w:val="bullet"/>
      <w:lvlText w:val=""/>
      <w:lvlJc w:val="left"/>
      <w:pPr>
        <w:ind w:left="3792" w:hanging="420"/>
      </w:pPr>
      <w:rPr>
        <w:rFonts w:hint="default" w:ascii="Wingdings" w:hAnsi="Wingdings"/>
      </w:rPr>
    </w:lvl>
    <w:lvl w:ilvl="7" w:tentative="0">
      <w:start w:val="1"/>
      <w:numFmt w:val="bullet"/>
      <w:lvlText w:val=""/>
      <w:lvlJc w:val="left"/>
      <w:pPr>
        <w:ind w:left="4212" w:hanging="420"/>
      </w:pPr>
      <w:rPr>
        <w:rFonts w:hint="default" w:ascii="Wingdings" w:hAnsi="Wingdings"/>
      </w:rPr>
    </w:lvl>
    <w:lvl w:ilvl="8" w:tentative="0">
      <w:start w:val="1"/>
      <w:numFmt w:val="bullet"/>
      <w:lvlText w:val=""/>
      <w:lvlJc w:val="left"/>
      <w:pPr>
        <w:ind w:left="4632" w:hanging="420"/>
      </w:pPr>
      <w:rPr>
        <w:rFonts w:hint="default" w:ascii="Wingdings" w:hAnsi="Wingdings"/>
      </w:rPr>
    </w:lvl>
  </w:abstractNum>
  <w:abstractNum w:abstractNumId="2">
    <w:nsid w:val="5853A266"/>
    <w:multiLevelType w:val="singleLevel"/>
    <w:tmpl w:val="5853A266"/>
    <w:lvl w:ilvl="0" w:tentative="0">
      <w:start w:val="1"/>
      <w:numFmt w:val="decimal"/>
      <w:lvlText w:val="%1."/>
      <w:lvlJc w:val="left"/>
      <w:pPr>
        <w:ind w:left="425" w:hanging="425"/>
      </w:pPr>
      <w:rPr>
        <w:rFonts w:hint="default"/>
      </w:rPr>
    </w:lvl>
  </w:abstractNum>
  <w:abstractNum w:abstractNumId="3">
    <w:nsid w:val="5853A6A5"/>
    <w:multiLevelType w:val="singleLevel"/>
    <w:tmpl w:val="5853A6A5"/>
    <w:lvl w:ilvl="0" w:tentative="0">
      <w:start w:val="3"/>
      <w:numFmt w:val="chineseCounting"/>
      <w:suff w:val="nothing"/>
      <w:lvlText w:val="%1、"/>
      <w:lvlJc w:val="left"/>
      <w:rPr>
        <w:rFonts w:ascii="宋体" w:hAnsi="宋体" w:eastAsia="宋体"/>
        <w:b/>
      </w:rPr>
    </w:lvl>
  </w:abstractNum>
  <w:abstractNum w:abstractNumId="4">
    <w:nsid w:val="67840F67"/>
    <w:multiLevelType w:val="multilevel"/>
    <w:tmpl w:val="67840F67"/>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5">
    <w:nsid w:val="6E3F47BD"/>
    <w:multiLevelType w:val="multilevel"/>
    <w:tmpl w:val="6E3F47BD"/>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6">
    <w:nsid w:val="7DFC7F1D"/>
    <w:multiLevelType w:val="singleLevel"/>
    <w:tmpl w:val="7DFC7F1D"/>
    <w:lvl w:ilvl="0" w:tentative="0">
      <w:start w:val="1"/>
      <w:numFmt w:val="decimal"/>
      <w:lvlText w:val="%1."/>
      <w:lvlJc w:val="left"/>
      <w:pPr>
        <w:ind w:left="425" w:hanging="425"/>
      </w:pPr>
      <w:rPr>
        <w:rFont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40719"/>
    <w:rsid w:val="001915D4"/>
    <w:rsid w:val="002F1863"/>
    <w:rsid w:val="00584D05"/>
    <w:rsid w:val="005A340A"/>
    <w:rsid w:val="00767387"/>
    <w:rsid w:val="009914B1"/>
    <w:rsid w:val="00C8709A"/>
    <w:rsid w:val="00D655BE"/>
    <w:rsid w:val="00DA1E52"/>
    <w:rsid w:val="00E12C11"/>
    <w:rsid w:val="00E83EA2"/>
    <w:rsid w:val="0C9B7EB5"/>
    <w:rsid w:val="29D13C05"/>
    <w:rsid w:val="47DB4FEB"/>
    <w:rsid w:val="6D535020"/>
    <w:rsid w:val="78240719"/>
    <w:rsid w:val="7E43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字符"/>
    <w:basedOn w:val="4"/>
    <w:link w:val="3"/>
    <w:qFormat/>
    <w:uiPriority w:val="0"/>
    <w:rPr>
      <w:kern w:val="2"/>
      <w:sz w:val="18"/>
      <w:szCs w:val="18"/>
    </w:rPr>
  </w:style>
  <w:style w:type="character" w:customStyle="1" w:styleId="8">
    <w:name w:val="页脚 字符"/>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288</Words>
  <Characters>1647</Characters>
  <Lines>13</Lines>
  <Paragraphs>3</Paragraphs>
  <TotalTime>30</TotalTime>
  <ScaleCrop>false</ScaleCrop>
  <LinksUpToDate>false</LinksUpToDate>
  <CharactersWithSpaces>1932</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2018-12-20T08:20:00Z</dcterms:created>
  <dc:creator>张怡茹</dc:creator>
  <cp:lastModifiedBy>张怡茹</cp:lastModifiedBy>
  <dcterms:modified xsi:type="dcterms:W3CDTF">2019-01-10T08:35:20Z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